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1784"/>
        <w:gridCol w:w="384"/>
        <w:gridCol w:w="1832"/>
        <w:gridCol w:w="854"/>
        <w:gridCol w:w="32"/>
      </w:tblGrid>
      <w:tr w:rsidR="003764E7">
        <w:trPr>
          <w:trHeight w:val="872"/>
        </w:trPr>
        <w:tc>
          <w:tcPr>
            <w:tcW w:w="9814" w:type="dxa"/>
            <w:gridSpan w:val="7"/>
            <w:tcBorders>
              <w:top w:val="nil"/>
              <w:left w:val="nil"/>
              <w:bottom w:val="nil"/>
              <w:right w:val="nil"/>
            </w:tcBorders>
          </w:tcPr>
          <w:p w:rsidR="001C5813" w:rsidRDefault="00F04CF2" w:rsidP="001C5813">
            <w:pPr>
              <w:ind w:firstLine="0"/>
              <w:jc w:val="center"/>
              <w:rPr>
                <w:rStyle w:val="Komentaronuoroda"/>
                <w:b/>
                <w:sz w:val="28"/>
              </w:rPr>
            </w:pPr>
            <w:bookmarkStart w:id="0" w:name="_GoBack"/>
            <w:bookmarkEnd w:id="0"/>
            <w:r>
              <w:rPr>
                <w:noProof/>
                <w:sz w:val="20"/>
                <w:lang w:eastAsia="lt-LT"/>
              </w:rPr>
              <w:drawing>
                <wp:anchor distT="0" distB="180340" distL="114300" distR="114300" simplePos="0" relativeHeight="251657728" behindDoc="1" locked="0" layoutInCell="0" allowOverlap="1" wp14:anchorId="115D8BFF">
                  <wp:simplePos x="0" y="0"/>
                  <wp:positionH relativeFrom="column">
                    <wp:posOffset>2628900</wp:posOffset>
                  </wp:positionH>
                  <wp:positionV relativeFrom="paragraph">
                    <wp:posOffset>0</wp:posOffset>
                  </wp:positionV>
                  <wp:extent cx="552450" cy="676275"/>
                  <wp:effectExtent l="0" t="0" r="0" b="9525"/>
                  <wp:wrapTopAndBottom/>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1C5813">
              <w:rPr>
                <w:rStyle w:val="Komentaronuoroda"/>
                <w:b/>
                <w:sz w:val="28"/>
              </w:rPr>
              <w:t>PLUNGĖS RAJONO SAVIVALDYBĖS ADMINISTRACIJOS</w:t>
            </w:r>
          </w:p>
          <w:p w:rsidR="001C5813" w:rsidRDefault="001C5813" w:rsidP="001C5813">
            <w:pPr>
              <w:ind w:firstLine="0"/>
              <w:jc w:val="center"/>
              <w:rPr>
                <w:rStyle w:val="Komentaronuoroda"/>
                <w:b/>
                <w:vanish/>
                <w:sz w:val="28"/>
              </w:rPr>
            </w:pPr>
            <w:r>
              <w:rPr>
                <w:rStyle w:val="Komentaronuoroda"/>
                <w:b/>
                <w:sz w:val="28"/>
              </w:rPr>
              <w:t>JURIDIN</w:t>
            </w:r>
            <w:r w:rsidR="00044DE1">
              <w:rPr>
                <w:rStyle w:val="Komentaronuoroda"/>
                <w:b/>
                <w:sz w:val="28"/>
              </w:rPr>
              <w:t xml:space="preserve">IS </w:t>
            </w:r>
            <w:r>
              <w:rPr>
                <w:rStyle w:val="Komentaronuoroda"/>
                <w:b/>
                <w:sz w:val="28"/>
              </w:rPr>
              <w:t xml:space="preserve">IR PERSONALO </w:t>
            </w:r>
            <w:r w:rsidR="00044DE1">
              <w:rPr>
                <w:rStyle w:val="Komentaronuoroda"/>
                <w:b/>
                <w:sz w:val="28"/>
              </w:rPr>
              <w:t>ADMINISTRAVIMO SKYRIUS</w:t>
            </w:r>
          </w:p>
        </w:tc>
      </w:tr>
      <w:tr w:rsidR="003764E7">
        <w:trPr>
          <w:gridAfter w:val="1"/>
          <w:wAfter w:w="32" w:type="dxa"/>
          <w:cantSplit/>
          <w:trHeight w:val="361"/>
        </w:trPr>
        <w:tc>
          <w:tcPr>
            <w:tcW w:w="4644" w:type="dxa"/>
            <w:vMerge w:val="restart"/>
            <w:tcBorders>
              <w:top w:val="nil"/>
              <w:left w:val="nil"/>
              <w:bottom w:val="nil"/>
              <w:right w:val="nil"/>
            </w:tcBorders>
          </w:tcPr>
          <w:p w:rsidR="003764E7" w:rsidRDefault="004B253E">
            <w:pPr>
              <w:ind w:firstLine="0"/>
              <w:jc w:val="left"/>
            </w:pPr>
            <w:r>
              <w:t xml:space="preserve">Plungės rajono savivaldybės tarybos </w:t>
            </w:r>
          </w:p>
          <w:p w:rsidR="004B253E" w:rsidRDefault="004B253E">
            <w:pPr>
              <w:ind w:firstLine="0"/>
              <w:jc w:val="left"/>
            </w:pPr>
            <w:r>
              <w:t>Kontrolės komitetui</w:t>
            </w:r>
          </w:p>
        </w:tc>
        <w:tc>
          <w:tcPr>
            <w:tcW w:w="284" w:type="dxa"/>
            <w:vMerge w:val="restart"/>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F954EE">
            <w:pPr>
              <w:shd w:val="solid" w:color="FFFFFF" w:fill="FFFFFF"/>
              <w:ind w:firstLine="0"/>
              <w:jc w:val="left"/>
            </w:pPr>
            <w:r>
              <w:fldChar w:fldCharType="begin"/>
            </w:r>
            <w:r>
              <w:instrText xml:space="preserve"> DATE  \@ "yyyy-MM-dd"  \* MERGEFORMAT </w:instrText>
            </w:r>
            <w:r>
              <w:fldChar w:fldCharType="separate"/>
            </w:r>
            <w:r w:rsidR="00AC7F64">
              <w:rPr>
                <w:noProof/>
              </w:rPr>
              <w:t>2023-12-08</w:t>
            </w:r>
            <w:r>
              <w:fldChar w:fldCharType="end"/>
            </w:r>
          </w:p>
        </w:tc>
        <w:tc>
          <w:tcPr>
            <w:tcW w:w="384" w:type="dxa"/>
            <w:tcBorders>
              <w:top w:val="nil"/>
              <w:left w:val="nil"/>
              <w:bottom w:val="nil"/>
              <w:right w:val="nil"/>
            </w:tcBorders>
            <w:vAlign w:val="bottom"/>
          </w:tcPr>
          <w:p w:rsidR="003764E7" w:rsidRDefault="003764E7">
            <w:pPr>
              <w:ind w:left="-113" w:right="-113" w:firstLine="0"/>
              <w:rPr>
                <w:b/>
              </w:rPr>
            </w:pPr>
            <w:r>
              <w:t>Nr.</w:t>
            </w:r>
          </w:p>
        </w:tc>
        <w:tc>
          <w:tcPr>
            <w:tcW w:w="1832" w:type="dxa"/>
            <w:tcBorders>
              <w:top w:val="nil"/>
              <w:left w:val="nil"/>
              <w:bottom w:val="nil"/>
              <w:right w:val="nil"/>
            </w:tcBorders>
            <w:vAlign w:val="bottom"/>
          </w:tcPr>
          <w:p w:rsidR="003764E7" w:rsidRDefault="004B253E">
            <w:pPr>
              <w:ind w:left="-57" w:firstLine="0"/>
              <w:jc w:val="left"/>
            </w:pPr>
            <w:r>
              <w:t>A20-</w:t>
            </w:r>
          </w:p>
        </w:tc>
        <w:tc>
          <w:tcPr>
            <w:tcW w:w="854" w:type="dxa"/>
            <w:tcBorders>
              <w:top w:val="nil"/>
              <w:left w:val="nil"/>
              <w:bottom w:val="nil"/>
              <w:right w:val="nil"/>
            </w:tcBorders>
          </w:tcPr>
          <w:p w:rsidR="003764E7" w:rsidRDefault="003764E7">
            <w:pPr>
              <w:ind w:left="-57" w:firstLine="0"/>
            </w:pPr>
          </w:p>
        </w:tc>
      </w:tr>
      <w:tr w:rsidR="003764E7">
        <w:trPr>
          <w:gridAfter w:val="1"/>
          <w:wAfter w:w="32" w:type="dxa"/>
          <w:cantSplit/>
          <w:trHeight w:val="360"/>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single" w:sz="4" w:space="0" w:color="auto"/>
              <w:left w:val="nil"/>
              <w:bottom w:val="single" w:sz="4" w:space="0" w:color="auto"/>
              <w:right w:val="nil"/>
            </w:tcBorders>
            <w:vAlign w:val="bottom"/>
          </w:tcPr>
          <w:p w:rsidR="003764E7" w:rsidRDefault="003764E7">
            <w:pPr>
              <w:ind w:firstLine="0"/>
              <w:jc w:val="left"/>
            </w:pPr>
            <w:r>
              <w:t>Į</w:t>
            </w:r>
          </w:p>
        </w:tc>
        <w:tc>
          <w:tcPr>
            <w:tcW w:w="384" w:type="dxa"/>
            <w:tcBorders>
              <w:top w:val="nil"/>
              <w:left w:val="nil"/>
              <w:bottom w:val="nil"/>
              <w:right w:val="nil"/>
            </w:tcBorders>
            <w:vAlign w:val="bottom"/>
          </w:tcPr>
          <w:p w:rsidR="003764E7" w:rsidRDefault="003764E7">
            <w:pPr>
              <w:ind w:left="-113" w:right="-113" w:firstLine="0"/>
              <w:rPr>
                <w:b/>
              </w:rPr>
            </w:pPr>
            <w:r>
              <w:t>Nr.</w:t>
            </w:r>
          </w:p>
        </w:tc>
        <w:tc>
          <w:tcPr>
            <w:tcW w:w="1832" w:type="dxa"/>
            <w:tcBorders>
              <w:top w:val="single" w:sz="4" w:space="0" w:color="auto"/>
              <w:left w:val="nil"/>
              <w:bottom w:val="single" w:sz="4" w:space="0" w:color="auto"/>
              <w:right w:val="nil"/>
            </w:tcBorders>
            <w:vAlign w:val="bottom"/>
          </w:tcPr>
          <w:p w:rsidR="003764E7" w:rsidRDefault="003764E7">
            <w:pPr>
              <w:ind w:left="-57" w:firstLine="0"/>
              <w:jc w:val="left"/>
            </w:pPr>
          </w:p>
        </w:tc>
        <w:tc>
          <w:tcPr>
            <w:tcW w:w="854" w:type="dxa"/>
            <w:vMerge w:val="restart"/>
            <w:tcBorders>
              <w:top w:val="nil"/>
              <w:left w:val="nil"/>
              <w:bottom w:val="nil"/>
              <w:right w:val="nil"/>
            </w:tcBorders>
          </w:tcPr>
          <w:p w:rsidR="003764E7" w:rsidRDefault="003764E7">
            <w:pPr>
              <w:ind w:left="-57" w:firstLine="0"/>
            </w:pPr>
          </w:p>
        </w:tc>
      </w:tr>
      <w:tr w:rsidR="003764E7">
        <w:trPr>
          <w:gridAfter w:val="1"/>
          <w:wAfter w:w="32" w:type="dxa"/>
          <w:cantSplit/>
          <w:trHeight w:val="195"/>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3764E7">
            <w:pPr>
              <w:ind w:firstLine="0"/>
            </w:pPr>
          </w:p>
        </w:tc>
        <w:tc>
          <w:tcPr>
            <w:tcW w:w="384" w:type="dxa"/>
            <w:tcBorders>
              <w:top w:val="nil"/>
              <w:left w:val="nil"/>
              <w:bottom w:val="nil"/>
              <w:right w:val="nil"/>
            </w:tcBorders>
          </w:tcPr>
          <w:p w:rsidR="003764E7" w:rsidRDefault="003764E7">
            <w:pPr>
              <w:ind w:firstLine="0"/>
              <w:rPr>
                <w:b/>
              </w:rPr>
            </w:pPr>
          </w:p>
        </w:tc>
        <w:tc>
          <w:tcPr>
            <w:tcW w:w="1832" w:type="dxa"/>
            <w:tcBorders>
              <w:top w:val="nil"/>
              <w:left w:val="nil"/>
              <w:bottom w:val="nil"/>
              <w:right w:val="nil"/>
            </w:tcBorders>
            <w:vAlign w:val="bottom"/>
          </w:tcPr>
          <w:p w:rsidR="003764E7" w:rsidRDefault="003764E7">
            <w:pPr>
              <w:ind w:left="-57" w:firstLine="0"/>
              <w:jc w:val="left"/>
            </w:pPr>
          </w:p>
        </w:tc>
        <w:tc>
          <w:tcPr>
            <w:tcW w:w="854" w:type="dxa"/>
            <w:vMerge/>
            <w:tcBorders>
              <w:top w:val="nil"/>
              <w:left w:val="nil"/>
              <w:bottom w:val="nil"/>
              <w:right w:val="nil"/>
            </w:tcBorders>
          </w:tcPr>
          <w:p w:rsidR="003764E7" w:rsidRDefault="003764E7">
            <w:pPr>
              <w:ind w:left="-57" w:firstLine="0"/>
            </w:pPr>
          </w:p>
        </w:tc>
      </w:tr>
      <w:tr w:rsidR="003764E7" w:rsidRPr="00506A3A">
        <w:trPr>
          <w:trHeight w:val="540"/>
        </w:trPr>
        <w:tc>
          <w:tcPr>
            <w:tcW w:w="9814" w:type="dxa"/>
            <w:gridSpan w:val="7"/>
            <w:tcBorders>
              <w:top w:val="nil"/>
              <w:left w:val="nil"/>
              <w:bottom w:val="nil"/>
              <w:right w:val="nil"/>
            </w:tcBorders>
          </w:tcPr>
          <w:p w:rsidR="003764E7" w:rsidRPr="00897236" w:rsidRDefault="003764E7">
            <w:pPr>
              <w:spacing w:before="240"/>
              <w:ind w:firstLine="0"/>
              <w:jc w:val="left"/>
              <w:rPr>
                <w:rStyle w:val="Komentaronuoroda"/>
                <w:b/>
                <w:spacing w:val="-5"/>
                <w:sz w:val="24"/>
                <w:szCs w:val="24"/>
              </w:rPr>
            </w:pPr>
          </w:p>
        </w:tc>
      </w:tr>
      <w:tr w:rsidR="004B253E" w:rsidRPr="00506A3A">
        <w:trPr>
          <w:trHeight w:val="540"/>
        </w:trPr>
        <w:tc>
          <w:tcPr>
            <w:tcW w:w="9814" w:type="dxa"/>
            <w:gridSpan w:val="7"/>
            <w:tcBorders>
              <w:top w:val="nil"/>
              <w:left w:val="nil"/>
              <w:bottom w:val="nil"/>
              <w:right w:val="nil"/>
            </w:tcBorders>
          </w:tcPr>
          <w:p w:rsidR="004B253E" w:rsidRPr="00897236" w:rsidRDefault="004B253E">
            <w:pPr>
              <w:spacing w:before="240"/>
              <w:ind w:firstLine="0"/>
              <w:jc w:val="left"/>
              <w:rPr>
                <w:rStyle w:val="Komentaronuoroda"/>
                <w:b/>
                <w:spacing w:val="-5"/>
                <w:sz w:val="24"/>
                <w:szCs w:val="24"/>
              </w:rPr>
            </w:pPr>
            <w:r>
              <w:rPr>
                <w:rStyle w:val="Komentaronuoroda"/>
                <w:b/>
                <w:spacing w:val="-5"/>
                <w:sz w:val="24"/>
                <w:szCs w:val="24"/>
              </w:rPr>
              <w:t>DĖL INFORMACIJOS APIE REKOMENDACIJŲ ĮGYVENDINIMĄ</w:t>
            </w:r>
          </w:p>
        </w:tc>
      </w:tr>
    </w:tbl>
    <w:p w:rsidR="003764E7" w:rsidRDefault="003764E7">
      <w:pPr>
        <w:pStyle w:val="Komentarotekstas"/>
        <w:rPr>
          <w:rFonts w:ascii="Times New Roman" w:hAnsi="Times New Roman"/>
          <w:spacing w:val="0"/>
        </w:rPr>
      </w:pPr>
    </w:p>
    <w:p w:rsidR="00A67BD2" w:rsidRDefault="00A67BD2">
      <w:pPr>
        <w:pStyle w:val="Komentarotekstas"/>
        <w:rPr>
          <w:rFonts w:ascii="Times New Roman" w:hAnsi="Times New Roman"/>
          <w:spacing w:val="0"/>
        </w:rPr>
      </w:pPr>
      <w:r>
        <w:rPr>
          <w:rFonts w:ascii="Times New Roman" w:hAnsi="Times New Roman"/>
          <w:spacing w:val="0"/>
        </w:rPr>
        <w:t>Vadovaudamasis</w:t>
      </w:r>
      <w:r w:rsidR="004B253E">
        <w:rPr>
          <w:rFonts w:ascii="Times New Roman" w:hAnsi="Times New Roman"/>
          <w:spacing w:val="0"/>
        </w:rPr>
        <w:t xml:space="preserve"> Plungės rajono savivaldybės </w:t>
      </w:r>
      <w:r>
        <w:rPr>
          <w:rFonts w:ascii="Times New Roman" w:hAnsi="Times New Roman"/>
          <w:spacing w:val="0"/>
        </w:rPr>
        <w:t>tarybos Kontrolės komiteto 2023 m. veiklos programos, patvirtintos Plungės rajono savivaldybės tarybos 2022 m. gruodžio 22 d. sprendimu Nr.T1-292, 7 eilutės 3 punktu, teikiu informaciją apie Plungės rajono savivaldybės administracijai teiktų rekomendacijų įgyvendinimą.</w:t>
      </w:r>
    </w:p>
    <w:p w:rsidR="004B253E" w:rsidRDefault="00A67BD2">
      <w:pPr>
        <w:pStyle w:val="Komentarotekstas"/>
        <w:rPr>
          <w:rFonts w:ascii="Times New Roman" w:hAnsi="Times New Roman"/>
          <w:spacing w:val="0"/>
        </w:rPr>
      </w:pPr>
      <w:r>
        <w:rPr>
          <w:rFonts w:ascii="Times New Roman" w:hAnsi="Times New Roman"/>
          <w:spacing w:val="0"/>
        </w:rPr>
        <w:t xml:space="preserve">Plungės rajono savivaldybės Kontrolės ir audito tarnyba 2023 m. liepos 14 d. Plungės rajono </w:t>
      </w:r>
      <w:r w:rsidR="002271AE">
        <w:rPr>
          <w:rFonts w:ascii="Times New Roman" w:hAnsi="Times New Roman"/>
          <w:spacing w:val="0"/>
        </w:rPr>
        <w:t>savivaldybės 2022 metų konsoliduotųjų ataskaitų rinkinio, savivaldybės biudžeto ir turto naudojimo vertinimo ataskaitoje Nr. IV-2 pateikė</w:t>
      </w:r>
      <w:r>
        <w:rPr>
          <w:rFonts w:ascii="Times New Roman" w:hAnsi="Times New Roman"/>
          <w:spacing w:val="0"/>
        </w:rPr>
        <w:t xml:space="preserve"> </w:t>
      </w:r>
      <w:r w:rsidR="002271AE">
        <w:rPr>
          <w:rFonts w:ascii="Times New Roman" w:hAnsi="Times New Roman"/>
          <w:spacing w:val="0"/>
        </w:rPr>
        <w:t>4 rekomendacijas Plungės rajo</w:t>
      </w:r>
      <w:r w:rsidR="00061A91">
        <w:rPr>
          <w:rFonts w:ascii="Times New Roman" w:hAnsi="Times New Roman"/>
          <w:spacing w:val="0"/>
        </w:rPr>
        <w:t>no savivaldybės administracijai:</w:t>
      </w:r>
    </w:p>
    <w:p w:rsidR="00061A91" w:rsidRDefault="00061A91" w:rsidP="00061A91">
      <w:pPr>
        <w:pStyle w:val="Komentarotekstas"/>
        <w:numPr>
          <w:ilvl w:val="0"/>
          <w:numId w:val="1"/>
        </w:numPr>
        <w:ind w:left="0" w:firstLine="709"/>
        <w:rPr>
          <w:rFonts w:ascii="Times New Roman" w:hAnsi="Times New Roman"/>
          <w:spacing w:val="0"/>
        </w:rPr>
      </w:pPr>
      <w:r w:rsidRPr="00061A91">
        <w:rPr>
          <w:rFonts w:ascii="Times New Roman" w:hAnsi="Times New Roman"/>
          <w:spacing w:val="0"/>
        </w:rPr>
        <w:t>Siekiant, kad būtų tinkamai vykdomi Savivaldybės mero potvarkiai dėl Savivaldybės biudžetinių įstaigų vadovų kasmetinių atostogų suteikimo, atšaukimo, grafikų tvirtinimo, bei jų keitimo – siūlome patvirtintini Plungės rajono savivaldybės biudžetinių įstaigų vadovų atostogų suteikimo, atšaukimo, grafikų tvirtinimo, tikslinimo tvarką</w:t>
      </w:r>
      <w:r>
        <w:rPr>
          <w:rFonts w:ascii="Times New Roman" w:hAnsi="Times New Roman"/>
          <w:spacing w:val="0"/>
        </w:rPr>
        <w:t>.</w:t>
      </w:r>
    </w:p>
    <w:p w:rsidR="00061A91" w:rsidRDefault="00061A91" w:rsidP="00061A91">
      <w:pPr>
        <w:pStyle w:val="Komentarotekstas"/>
        <w:numPr>
          <w:ilvl w:val="0"/>
          <w:numId w:val="1"/>
        </w:numPr>
        <w:ind w:left="0" w:firstLine="709"/>
        <w:rPr>
          <w:rFonts w:ascii="Times New Roman" w:hAnsi="Times New Roman"/>
          <w:spacing w:val="0"/>
        </w:rPr>
      </w:pPr>
      <w:r w:rsidRPr="00061A91">
        <w:rPr>
          <w:rFonts w:ascii="Times New Roman" w:hAnsi="Times New Roman"/>
          <w:spacing w:val="0"/>
        </w:rPr>
        <w:t>Siekiant, kad nesusikauptų ankstesnių laikotarpių neišnaudotų atostogų dienų skaičius (pvz. 2018/2019 ar 2019/2020 metų), siūlome vadovautis DK 128 str. nuostata ir vieną iš kasmetinių atostogų dalių, kuri nebūtų trumpesnė kaip dešimt darbo dienų, suteikti už ankstesnių (neatsižvelgiant į Administracijoje susidariusią, niekur nereglamentuotą tvarką, kad 10 dienų kasmetinių atostogų suteikiama tik iš einamųjų metų atostogų) laikotarpių sukauptas atostogų dienas</w:t>
      </w:r>
      <w:r>
        <w:rPr>
          <w:rFonts w:ascii="Times New Roman" w:hAnsi="Times New Roman"/>
          <w:spacing w:val="0"/>
        </w:rPr>
        <w:t>.</w:t>
      </w:r>
    </w:p>
    <w:p w:rsidR="00061A91" w:rsidRDefault="00061A91" w:rsidP="00061A91">
      <w:pPr>
        <w:pStyle w:val="Komentarotekstas"/>
        <w:numPr>
          <w:ilvl w:val="0"/>
          <w:numId w:val="1"/>
        </w:numPr>
        <w:ind w:left="0" w:firstLine="709"/>
        <w:rPr>
          <w:rFonts w:ascii="Times New Roman" w:hAnsi="Times New Roman"/>
          <w:spacing w:val="0"/>
        </w:rPr>
      </w:pPr>
      <w:r w:rsidRPr="00061A91">
        <w:rPr>
          <w:rFonts w:ascii="Times New Roman" w:hAnsi="Times New Roman"/>
          <w:spacing w:val="0"/>
        </w:rPr>
        <w:t>Siekiant, kad nebaigtos statybos sąskaitoje nebūtų apskaityti eksploatuojami ir naudojami objektai, inicijuoti šių objektų perdavimą turto valdytojams</w:t>
      </w:r>
      <w:r>
        <w:rPr>
          <w:rFonts w:ascii="Times New Roman" w:hAnsi="Times New Roman"/>
          <w:spacing w:val="0"/>
        </w:rPr>
        <w:t>.</w:t>
      </w:r>
    </w:p>
    <w:p w:rsidR="00061A91" w:rsidRDefault="00061A91" w:rsidP="00061A91">
      <w:pPr>
        <w:pStyle w:val="Komentarotekstas"/>
        <w:numPr>
          <w:ilvl w:val="0"/>
          <w:numId w:val="1"/>
        </w:numPr>
        <w:ind w:left="0" w:firstLine="709"/>
        <w:rPr>
          <w:rFonts w:ascii="Times New Roman" w:hAnsi="Times New Roman"/>
          <w:spacing w:val="0"/>
        </w:rPr>
      </w:pPr>
      <w:r w:rsidRPr="00061A91">
        <w:rPr>
          <w:rFonts w:ascii="Times New Roman" w:hAnsi="Times New Roman"/>
          <w:spacing w:val="0"/>
        </w:rPr>
        <w:t>Siekiant, kad kelerius metus nebaigtos statybos sąskaitoje nebūtų apskaityti objektai, kurie nuosavybės teise nepriklauso Savivaldybei, o Savivaldybės taryba buvo priėmusi sprendimą skirti dalį lėšų investicijoms į Savivaldybei nuosavybės teise nepriklausantį turtą, kai buvo atlikti pastatų, statinių ir inžinerinių tinklų naujos statybos, remonto, kapitalinio remonto, rekonstrukcijos ar modernizavimo darbai jungtinės veiklos (bendradarbiavimo) sutarties pagrindu, priimti sprendimus dėl turto valdymo, naudojimo ir disponavimo tvarkos aprašo patikslinimo ar pakeitimo, nustatant, per kiek laiko Savivaldybės atsakingi darbuotojai turi inicijuoti Savivaldybės tarybos sprendimą perduoti turto valdytojui nebaigtos statybos vertę</w:t>
      </w:r>
      <w:r>
        <w:rPr>
          <w:rFonts w:ascii="Times New Roman" w:hAnsi="Times New Roman"/>
          <w:spacing w:val="0"/>
        </w:rPr>
        <w:t>.</w:t>
      </w:r>
    </w:p>
    <w:p w:rsidR="00061A91" w:rsidRDefault="00061A91" w:rsidP="00061A91">
      <w:pPr>
        <w:pStyle w:val="Komentarotekstas"/>
        <w:rPr>
          <w:rFonts w:ascii="Times New Roman" w:hAnsi="Times New Roman"/>
          <w:spacing w:val="0"/>
        </w:rPr>
      </w:pPr>
    </w:p>
    <w:p w:rsidR="00061A91" w:rsidRDefault="00061A91" w:rsidP="00061A91">
      <w:pPr>
        <w:pStyle w:val="Komentarotekstas"/>
        <w:rPr>
          <w:rFonts w:ascii="Times New Roman" w:hAnsi="Times New Roman"/>
          <w:spacing w:val="0"/>
        </w:rPr>
      </w:pPr>
      <w:r>
        <w:rPr>
          <w:rFonts w:ascii="Times New Roman" w:hAnsi="Times New Roman"/>
          <w:spacing w:val="0"/>
        </w:rPr>
        <w:t>Žemiau pateikiama informaciją apie rekomendacijų įgyvendinimą pagal numeraciją:</w:t>
      </w:r>
    </w:p>
    <w:p w:rsidR="00061A91" w:rsidRDefault="00061A91" w:rsidP="00061A91">
      <w:pPr>
        <w:pStyle w:val="Komentarotekstas"/>
        <w:rPr>
          <w:rFonts w:ascii="Times New Roman" w:hAnsi="Times New Roman"/>
          <w:spacing w:val="0"/>
        </w:rPr>
      </w:pPr>
      <w:r>
        <w:rPr>
          <w:rFonts w:ascii="Times New Roman" w:hAnsi="Times New Roman"/>
          <w:spacing w:val="0"/>
        </w:rPr>
        <w:t>1.</w:t>
      </w:r>
      <w:r w:rsidR="00395C09" w:rsidRPr="00395C09">
        <w:t xml:space="preserve"> </w:t>
      </w:r>
      <w:r w:rsidR="00D81A50" w:rsidRPr="00D81A50">
        <w:rPr>
          <w:rFonts w:ascii="Times New Roman" w:hAnsi="Times New Roman"/>
        </w:rPr>
        <w:t>Rekomendacija įgyvendinta.</w:t>
      </w:r>
      <w:r w:rsidR="00D81A50">
        <w:t xml:space="preserve"> </w:t>
      </w:r>
      <w:r w:rsidR="00395C09" w:rsidRPr="00395C09">
        <w:rPr>
          <w:rFonts w:ascii="Times New Roman" w:hAnsi="Times New Roman"/>
          <w:spacing w:val="0"/>
        </w:rPr>
        <w:t>2023 m. rugsėjo 4 d. Plungės rajono savivaldybės meras potvarkiu Nr. PE-239 patvirtino Plungės rajono savivaldybės biudžetinių ir viešųjų įstaigų vadovų komandiruočių ir atostogų suteikimo, atšaukimo tvarkos aprašą</w:t>
      </w:r>
      <w:r w:rsidR="00395C09">
        <w:rPr>
          <w:rFonts w:ascii="Times New Roman" w:hAnsi="Times New Roman"/>
          <w:spacing w:val="0"/>
        </w:rPr>
        <w:t>.</w:t>
      </w:r>
    </w:p>
    <w:p w:rsidR="00061A91" w:rsidRDefault="00061A91" w:rsidP="00061A91">
      <w:pPr>
        <w:pStyle w:val="Komentarotekstas"/>
        <w:rPr>
          <w:rFonts w:ascii="Times New Roman" w:hAnsi="Times New Roman"/>
          <w:spacing w:val="0"/>
        </w:rPr>
      </w:pPr>
      <w:r>
        <w:rPr>
          <w:rFonts w:ascii="Times New Roman" w:hAnsi="Times New Roman"/>
          <w:spacing w:val="0"/>
        </w:rPr>
        <w:t xml:space="preserve">2. </w:t>
      </w:r>
      <w:r w:rsidR="00395C09">
        <w:rPr>
          <w:rFonts w:ascii="Times New Roman" w:hAnsi="Times New Roman"/>
          <w:spacing w:val="0"/>
        </w:rPr>
        <w:t xml:space="preserve">Į rekomendaciją atsižvelgta. </w:t>
      </w:r>
      <w:r w:rsidR="00395C09" w:rsidRPr="00395C09">
        <w:rPr>
          <w:rFonts w:ascii="Times New Roman" w:hAnsi="Times New Roman"/>
          <w:spacing w:val="0"/>
        </w:rPr>
        <w:t>Suteikiant kasmetines atostogas yra taikomos Lietuvos Respublikos darbo kodekso 128 straipsnio nuostatos ir kad viena iš kasmetinių atostogų dalių negali būti trumpesnė kaip dešimt darbo dienų. Nepanaudotos kasmetinių atostogų dienos suteikiamos iš ankstesnių laikotarpių.</w:t>
      </w:r>
    </w:p>
    <w:p w:rsidR="00061A91" w:rsidRDefault="00061A91" w:rsidP="00061A91">
      <w:pPr>
        <w:pStyle w:val="Komentarotekstas"/>
        <w:rPr>
          <w:rFonts w:ascii="Times New Roman" w:hAnsi="Times New Roman"/>
          <w:spacing w:val="0"/>
        </w:rPr>
      </w:pPr>
      <w:r>
        <w:rPr>
          <w:rFonts w:ascii="Times New Roman" w:hAnsi="Times New Roman"/>
          <w:spacing w:val="0"/>
        </w:rPr>
        <w:lastRenderedPageBreak/>
        <w:t xml:space="preserve">3. </w:t>
      </w:r>
      <w:r w:rsidR="00D81A50" w:rsidRPr="00D81A50">
        <w:rPr>
          <w:rFonts w:ascii="Times New Roman" w:hAnsi="Times New Roman"/>
          <w:spacing w:val="0"/>
        </w:rPr>
        <w:t xml:space="preserve">Rekomendacija įgyvendinta. </w:t>
      </w:r>
      <w:r>
        <w:rPr>
          <w:rFonts w:ascii="Times New Roman" w:hAnsi="Times New Roman"/>
          <w:spacing w:val="0"/>
        </w:rPr>
        <w:t>Plungės rajono savivaldybės administracijos direktoriaus 2023 m. rugsėjo 1 d. įsakymu Nr.DE-533, atsakingi darbuotojai įpareigoti</w:t>
      </w:r>
      <w:r w:rsidR="00CA3929">
        <w:rPr>
          <w:rFonts w:ascii="Times New Roman" w:hAnsi="Times New Roman"/>
          <w:spacing w:val="0"/>
        </w:rPr>
        <w:t xml:space="preserve"> pateikti detalią informaciją dėl kokių priežasčių remonto </w:t>
      </w:r>
      <w:r w:rsidR="00C344EC">
        <w:rPr>
          <w:rFonts w:ascii="Times New Roman" w:hAnsi="Times New Roman"/>
          <w:spacing w:val="0"/>
        </w:rPr>
        <w:t>vertės</w:t>
      </w:r>
      <w:r w:rsidR="00CA3929">
        <w:rPr>
          <w:rFonts w:ascii="Times New Roman" w:hAnsi="Times New Roman"/>
          <w:spacing w:val="0"/>
        </w:rPr>
        <w:t xml:space="preserve"> nebuvo perduotos bei aiškų veiksmų planą šiai problemai išspręsti.</w:t>
      </w:r>
    </w:p>
    <w:p w:rsidR="00C344EC" w:rsidRDefault="00C344EC" w:rsidP="00C344EC">
      <w:pPr>
        <w:pStyle w:val="Komentarotekstas"/>
        <w:rPr>
          <w:rFonts w:ascii="Times New Roman" w:hAnsi="Times New Roman"/>
          <w:spacing w:val="0"/>
        </w:rPr>
      </w:pPr>
      <w:r>
        <w:rPr>
          <w:rFonts w:ascii="Times New Roman" w:hAnsi="Times New Roman"/>
          <w:spacing w:val="0"/>
        </w:rPr>
        <w:t xml:space="preserve">4. </w:t>
      </w:r>
      <w:r w:rsidR="00D81A50" w:rsidRPr="00D81A50">
        <w:rPr>
          <w:rFonts w:ascii="Times New Roman" w:hAnsi="Times New Roman"/>
          <w:spacing w:val="0"/>
        </w:rPr>
        <w:t>Rekomendacija</w:t>
      </w:r>
      <w:r w:rsidR="00D81A50">
        <w:rPr>
          <w:rFonts w:ascii="Times New Roman" w:hAnsi="Times New Roman"/>
          <w:spacing w:val="0"/>
        </w:rPr>
        <w:t xml:space="preserve"> iš dalies</w:t>
      </w:r>
      <w:r w:rsidR="00D81A50" w:rsidRPr="00D81A50">
        <w:rPr>
          <w:rFonts w:ascii="Times New Roman" w:hAnsi="Times New Roman"/>
          <w:spacing w:val="0"/>
        </w:rPr>
        <w:t xml:space="preserve"> įgyvendinta. </w:t>
      </w:r>
      <w:r>
        <w:rPr>
          <w:rFonts w:ascii="Times New Roman" w:hAnsi="Times New Roman"/>
          <w:spacing w:val="0"/>
        </w:rPr>
        <w:t>2023 m. rugsėjo 1 d. įsakyme</w:t>
      </w:r>
      <w:r w:rsidRPr="00C344EC">
        <w:rPr>
          <w:rFonts w:ascii="Times New Roman" w:hAnsi="Times New Roman"/>
          <w:spacing w:val="0"/>
        </w:rPr>
        <w:t xml:space="preserve"> Nr.</w:t>
      </w:r>
      <w:r>
        <w:rPr>
          <w:rFonts w:ascii="Times New Roman" w:hAnsi="Times New Roman"/>
          <w:spacing w:val="0"/>
        </w:rPr>
        <w:t xml:space="preserve"> </w:t>
      </w:r>
      <w:r w:rsidRPr="00C344EC">
        <w:rPr>
          <w:rFonts w:ascii="Times New Roman" w:hAnsi="Times New Roman"/>
          <w:spacing w:val="0"/>
        </w:rPr>
        <w:t>DE-533</w:t>
      </w:r>
      <w:r>
        <w:rPr>
          <w:rFonts w:ascii="Times New Roman" w:hAnsi="Times New Roman"/>
          <w:spacing w:val="0"/>
        </w:rPr>
        <w:t xml:space="preserve"> suformuluoti įpareigojimai atsakingiems asmenims apima ir 4 rekomendacijos įgyvendinimą. Administracijos nuomone, nustatyti konkrečius terminus T</w:t>
      </w:r>
      <w:r w:rsidRPr="00C344EC">
        <w:rPr>
          <w:rFonts w:ascii="Times New Roman" w:hAnsi="Times New Roman"/>
          <w:spacing w:val="0"/>
        </w:rPr>
        <w:t xml:space="preserve">urto valdymo, naudojimo ir disponavimo </w:t>
      </w:r>
      <w:r>
        <w:rPr>
          <w:rFonts w:ascii="Times New Roman" w:hAnsi="Times New Roman"/>
          <w:spacing w:val="0"/>
        </w:rPr>
        <w:t>juo tvarkos apraše yra netikslinga, nes nebaigtos statybos verčių perdavimas dažniausiai neatliekamas d</w:t>
      </w:r>
      <w:r w:rsidR="00425195">
        <w:rPr>
          <w:rFonts w:ascii="Times New Roman" w:hAnsi="Times New Roman"/>
          <w:spacing w:val="0"/>
        </w:rPr>
        <w:t>ėl nuo Savivaldybės administracijos nepriklausančių priežasčių. Be to, kiekvieno atvejo neperdavimo priežastys gali būti labai skirtingos, atitinkamai ir laikotarpis perdavimui atlikti.</w:t>
      </w:r>
    </w:p>
    <w:p w:rsidR="00D81A50" w:rsidRDefault="00D81A50" w:rsidP="00C344EC">
      <w:pPr>
        <w:pStyle w:val="Komentarotekstas"/>
        <w:rPr>
          <w:rFonts w:ascii="Times New Roman" w:hAnsi="Times New Roman"/>
          <w:spacing w:val="0"/>
        </w:rPr>
      </w:pPr>
    </w:p>
    <w:p w:rsidR="00D81A50" w:rsidRDefault="00D81A50" w:rsidP="00C344EC">
      <w:pPr>
        <w:pStyle w:val="Komentarotekstas"/>
        <w:rPr>
          <w:rFonts w:ascii="Times New Roman" w:hAnsi="Times New Roman"/>
          <w:spacing w:val="0"/>
        </w:rPr>
      </w:pPr>
    </w:p>
    <w:p w:rsidR="00D81A50" w:rsidRPr="00C344EC" w:rsidRDefault="00D81A50" w:rsidP="00D81A50">
      <w:pPr>
        <w:pStyle w:val="Komentarotekstas"/>
        <w:ind w:firstLine="0"/>
        <w:rPr>
          <w:rFonts w:ascii="Times New Roman" w:hAnsi="Times New Roman"/>
          <w:spacing w:val="0"/>
        </w:rPr>
      </w:pPr>
      <w:r>
        <w:rPr>
          <w:rFonts w:ascii="Times New Roman" w:hAnsi="Times New Roman"/>
          <w:spacing w:val="0"/>
        </w:rPr>
        <w:t>Skyriaus vedėjas                                                                                                   Vytautas Tumas</w:t>
      </w:r>
    </w:p>
    <w:sectPr w:rsidR="00D81A50" w:rsidRPr="00C344EC">
      <w:footerReference w:type="default" r:id="rId8"/>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A7A" w:rsidRDefault="00101A7A">
      <w:r>
        <w:separator/>
      </w:r>
    </w:p>
  </w:endnote>
  <w:endnote w:type="continuationSeparator" w:id="0">
    <w:p w:rsidR="00101A7A" w:rsidRDefault="00101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4E7" w:rsidRPr="008D56EA" w:rsidRDefault="00F04CF2">
    <w:pPr>
      <w:pStyle w:val="Porat"/>
      <w:tabs>
        <w:tab w:val="clear" w:pos="4819"/>
        <w:tab w:val="clear" w:pos="9638"/>
      </w:tabs>
      <w:spacing w:line="360" w:lineRule="auto"/>
      <w:ind w:firstLine="0"/>
      <w:rPr>
        <w:sz w:val="16"/>
      </w:rPr>
    </w:pPr>
    <w:r>
      <w:rPr>
        <w:noProof/>
        <w:sz w:val="16"/>
        <w:lang w:eastAsia="lt-LT"/>
      </w:rPr>
      <mc:AlternateContent>
        <mc:Choice Requires="wps">
          <w:drawing>
            <wp:anchor distT="0" distB="0" distL="114300" distR="114300" simplePos="0" relativeHeight="251657728" behindDoc="0" locked="0" layoutInCell="0" allowOverlap="1" wp14:anchorId="7D5C5010">
              <wp:simplePos x="0" y="0"/>
              <wp:positionH relativeFrom="column">
                <wp:posOffset>0</wp:posOffset>
              </wp:positionH>
              <wp:positionV relativeFrom="paragraph">
                <wp:posOffset>123825</wp:posOffset>
              </wp:positionV>
              <wp:extent cx="61722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A809D"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qAEA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E8dKY3roCASu1sqI2e1YvZavrdIaWrlqgDjwxfLwbSspCRvEkJG2cAf99/1gxiyNHr2KZz&#10;Y7sACQ1A56jG5aYGP3tE4XCePc5AYozo6EtIMSYa6/wnrjsUjBJL4ByByWnrfCBCijEk3KP0RkgZ&#10;xZYK9SV+yB4/xASnpWDBGcKcPewradGJhHGJX6wKPPdhVh8Vi2AtJ2w92J4IebXhcqkCHpQCdAbr&#10;Og8/ntKn9WK9yCf5bL6e5GldTz5uqnwy3wCl+qGuqjr7GahledEKxrgK7MbZzPK/0354Jdepuk3n&#10;rQ3JW/TYLyA7/iPpqGWQ7zoIe80uOztqDOMYg4enE+b9fg/2/QNf/QIAAP//AwBQSwMEFAAGAAgA&#10;AAAhAM23pZbbAAAABgEAAA8AAABkcnMvZG93bnJldi54bWxMj8FOwzAMhu9IvENkJG4sZRKDlaYT&#10;reCwA0jbkIBb1pi2onFK427l7THiAEd/v/X7c7aafKcOOMQ2kIHLWQIKqQqupdrA8+7h4gZUZEvO&#10;doHQwBdGWOWnJ5lNXTjSBg9brpWUUEytgYa5T7WOVYPexlnokSR7D4O3LONQazfYo5T7Ts+TZKG9&#10;bUkuNLbHssHqYzt6AxxfXp94XH8Wi+KxxF3xVt7rtTHnZ9PdLSjGif+W4Udf1CEXp30YyUXVGZBH&#10;WOjyCpSky+u5gP0v0Hmm/+vn3wAAAP//AwBQSwECLQAUAAYACAAAACEAtoM4kv4AAADhAQAAEwAA&#10;AAAAAAAAAAAAAAAAAAAAW0NvbnRlbnRfVHlwZXNdLnhtbFBLAQItABQABgAIAAAAIQA4/SH/1gAA&#10;AJQBAAALAAAAAAAAAAAAAAAAAC8BAABfcmVscy8ucmVsc1BLAQItABQABgAIAAAAIQDQylqAEAIA&#10;ACgEAAAOAAAAAAAAAAAAAAAAAC4CAABkcnMvZTJvRG9jLnhtbFBLAQItABQABgAIAAAAIQDNt6WW&#10;2wAAAAYBAAAPAAAAAAAAAAAAAAAAAGoEAABkcnMvZG93bnJldi54bWxQSwUGAAAAAAQABADzAAAA&#10;cgUAAAAA&#10;" o:allowincell="f" strokeweight=".25pt"/>
          </w:pict>
        </mc:Fallback>
      </mc:AlternateContent>
    </w:r>
  </w:p>
  <w:tbl>
    <w:tblPr>
      <w:tblW w:w="9828" w:type="dxa"/>
      <w:tblLayout w:type="fixed"/>
      <w:tblLook w:val="01E0" w:firstRow="1" w:lastRow="1" w:firstColumn="1" w:lastColumn="1" w:noHBand="0" w:noVBand="0"/>
    </w:tblPr>
    <w:tblGrid>
      <w:gridCol w:w="9828"/>
    </w:tblGrid>
    <w:tr w:rsidR="00A63482" w:rsidRPr="00462A67">
      <w:tc>
        <w:tcPr>
          <w:tcW w:w="9828" w:type="dxa"/>
        </w:tcPr>
        <w:p w:rsidR="00A63482" w:rsidRPr="00462A67" w:rsidRDefault="00C62EC5" w:rsidP="00DB377D">
          <w:pPr>
            <w:pStyle w:val="Porat"/>
            <w:tabs>
              <w:tab w:val="clear" w:pos="4819"/>
              <w:tab w:val="clear" w:pos="9638"/>
              <w:tab w:val="left" w:pos="3420"/>
            </w:tabs>
            <w:ind w:firstLine="0"/>
            <w:jc w:val="center"/>
            <w:rPr>
              <w:sz w:val="16"/>
              <w:lang w:val="de-DE"/>
            </w:rPr>
          </w:pPr>
          <w:r>
            <w:rPr>
              <w:sz w:val="16"/>
            </w:rPr>
            <w:t>B</w:t>
          </w:r>
          <w:r w:rsidR="00A63482" w:rsidRPr="00044DE1">
            <w:rPr>
              <w:sz w:val="16"/>
            </w:rPr>
            <w:t xml:space="preserve">iudžetinė įstaiga, Vytauto g. 12, LT-90123 Plungė, tel. </w:t>
          </w:r>
          <w:r w:rsidR="00A63482">
            <w:rPr>
              <w:sz w:val="16"/>
              <w:lang w:val="de-DE"/>
            </w:rPr>
            <w:t xml:space="preserve">(8 448)  73 133 / 73 166, </w:t>
          </w:r>
          <w:proofErr w:type="spellStart"/>
          <w:r w:rsidR="00A63482">
            <w:rPr>
              <w:sz w:val="16"/>
              <w:lang w:val="de-DE"/>
            </w:rPr>
            <w:t>el</w:t>
          </w:r>
          <w:proofErr w:type="spellEnd"/>
          <w:r w:rsidR="00A63482">
            <w:rPr>
              <w:sz w:val="16"/>
              <w:lang w:val="de-DE"/>
            </w:rPr>
            <w:t xml:space="preserve">. p. </w:t>
          </w:r>
          <w:hyperlink r:id="rId1" w:history="1">
            <w:r w:rsidR="00A63482" w:rsidRPr="00C8396D">
              <w:rPr>
                <w:rStyle w:val="Hipersaitas"/>
                <w:sz w:val="16"/>
                <w:lang w:val="de-DE"/>
              </w:rPr>
              <w:t>savivaldybe@plunge.lt</w:t>
            </w:r>
          </w:hyperlink>
        </w:p>
      </w:tc>
    </w:tr>
    <w:tr w:rsidR="00A63482" w:rsidRPr="00462A67">
      <w:tc>
        <w:tcPr>
          <w:tcW w:w="9828" w:type="dxa"/>
        </w:tcPr>
        <w:p w:rsidR="00A63482" w:rsidRPr="00462A67" w:rsidRDefault="00A63482" w:rsidP="00A63482">
          <w:pPr>
            <w:pStyle w:val="Porat"/>
            <w:tabs>
              <w:tab w:val="clear" w:pos="4819"/>
              <w:tab w:val="clear" w:pos="9638"/>
              <w:tab w:val="left" w:pos="3420"/>
            </w:tabs>
            <w:ind w:firstLine="0"/>
            <w:jc w:val="center"/>
            <w:rPr>
              <w:sz w:val="16"/>
              <w:lang w:val="de-DE"/>
            </w:rPr>
          </w:pPr>
          <w:proofErr w:type="spellStart"/>
          <w:r>
            <w:rPr>
              <w:sz w:val="16"/>
              <w:lang w:val="de-DE"/>
            </w:rPr>
            <w:t>Duomenys</w:t>
          </w:r>
          <w:proofErr w:type="spellEnd"/>
          <w:r>
            <w:rPr>
              <w:sz w:val="16"/>
              <w:lang w:val="de-DE"/>
            </w:rPr>
            <w:t xml:space="preserve"> </w:t>
          </w:r>
          <w:proofErr w:type="spellStart"/>
          <w:r>
            <w:rPr>
              <w:sz w:val="16"/>
              <w:lang w:val="de-DE"/>
            </w:rPr>
            <w:t>kaupiami</w:t>
          </w:r>
          <w:proofErr w:type="spellEnd"/>
          <w:r>
            <w:rPr>
              <w:sz w:val="16"/>
              <w:lang w:val="de-DE"/>
            </w:rPr>
            <w:t xml:space="preserve"> </w:t>
          </w:r>
          <w:proofErr w:type="spellStart"/>
          <w:r>
            <w:rPr>
              <w:sz w:val="16"/>
              <w:lang w:val="de-DE"/>
            </w:rPr>
            <w:t>ir</w:t>
          </w:r>
          <w:proofErr w:type="spellEnd"/>
          <w:r>
            <w:rPr>
              <w:sz w:val="16"/>
              <w:lang w:val="de-DE"/>
            </w:rPr>
            <w:t xml:space="preserve"> </w:t>
          </w:r>
          <w:proofErr w:type="spellStart"/>
          <w:r>
            <w:rPr>
              <w:sz w:val="16"/>
              <w:lang w:val="de-DE"/>
            </w:rPr>
            <w:t>saugomi</w:t>
          </w:r>
          <w:proofErr w:type="spellEnd"/>
          <w:r>
            <w:rPr>
              <w:sz w:val="16"/>
              <w:lang w:val="de-DE"/>
            </w:rPr>
            <w:t xml:space="preserve"> </w:t>
          </w:r>
          <w:proofErr w:type="spellStart"/>
          <w:r>
            <w:rPr>
              <w:sz w:val="16"/>
              <w:lang w:val="de-DE"/>
            </w:rPr>
            <w:t>Juridinių</w:t>
          </w:r>
          <w:proofErr w:type="spellEnd"/>
          <w:r>
            <w:rPr>
              <w:sz w:val="16"/>
              <w:lang w:val="de-DE"/>
            </w:rPr>
            <w:t xml:space="preserve"> </w:t>
          </w:r>
          <w:proofErr w:type="spellStart"/>
          <w:r>
            <w:rPr>
              <w:sz w:val="16"/>
              <w:lang w:val="de-DE"/>
            </w:rPr>
            <w:t>asmenų</w:t>
          </w:r>
          <w:proofErr w:type="spellEnd"/>
          <w:r>
            <w:rPr>
              <w:sz w:val="16"/>
              <w:lang w:val="de-DE"/>
            </w:rPr>
            <w:t xml:space="preserve"> </w:t>
          </w:r>
          <w:proofErr w:type="spellStart"/>
          <w:r>
            <w:rPr>
              <w:sz w:val="16"/>
              <w:lang w:val="de-DE"/>
            </w:rPr>
            <w:t>regist</w:t>
          </w:r>
          <w:r w:rsidR="00237C2A">
            <w:rPr>
              <w:sz w:val="16"/>
              <w:lang w:val="de-DE"/>
            </w:rPr>
            <w:t>r</w:t>
          </w:r>
          <w:r>
            <w:rPr>
              <w:sz w:val="16"/>
              <w:lang w:val="de-DE"/>
            </w:rPr>
            <w:t>e</w:t>
          </w:r>
          <w:proofErr w:type="spellEnd"/>
          <w:r>
            <w:rPr>
              <w:sz w:val="16"/>
              <w:lang w:val="de-DE"/>
            </w:rPr>
            <w:t xml:space="preserve">, </w:t>
          </w:r>
          <w:proofErr w:type="spellStart"/>
          <w:r>
            <w:rPr>
              <w:sz w:val="16"/>
              <w:lang w:val="de-DE"/>
            </w:rPr>
            <w:t>kodas</w:t>
          </w:r>
          <w:proofErr w:type="spellEnd"/>
          <w:r>
            <w:rPr>
              <w:sz w:val="16"/>
              <w:lang w:val="de-DE"/>
            </w:rPr>
            <w:t xml:space="preserve"> 188714469.</w:t>
          </w:r>
        </w:p>
      </w:tc>
    </w:tr>
    <w:tr w:rsidR="00A63482" w:rsidRPr="00044DE1">
      <w:tc>
        <w:tcPr>
          <w:tcW w:w="9828" w:type="dxa"/>
        </w:tcPr>
        <w:p w:rsidR="00A63482" w:rsidRPr="00044DE1" w:rsidRDefault="00A63482" w:rsidP="009457D2">
          <w:pPr>
            <w:pStyle w:val="Porat"/>
            <w:tabs>
              <w:tab w:val="clear" w:pos="4819"/>
              <w:tab w:val="clear" w:pos="9638"/>
              <w:tab w:val="left" w:pos="3420"/>
            </w:tabs>
            <w:ind w:firstLine="0"/>
            <w:jc w:val="center"/>
            <w:rPr>
              <w:sz w:val="16"/>
              <w:lang w:val="es-ES"/>
            </w:rPr>
          </w:pPr>
          <w:proofErr w:type="spellStart"/>
          <w:r>
            <w:rPr>
              <w:sz w:val="16"/>
              <w:lang w:val="de-DE"/>
            </w:rPr>
            <w:t>Skyriaus</w:t>
          </w:r>
          <w:proofErr w:type="spellEnd"/>
          <w:r>
            <w:rPr>
              <w:sz w:val="16"/>
              <w:lang w:val="de-DE"/>
            </w:rPr>
            <w:t xml:space="preserve"> </w:t>
          </w:r>
          <w:proofErr w:type="spellStart"/>
          <w:r>
            <w:rPr>
              <w:sz w:val="16"/>
              <w:lang w:val="de-DE"/>
            </w:rPr>
            <w:t>duomenys</w:t>
          </w:r>
          <w:proofErr w:type="spellEnd"/>
          <w:r>
            <w:rPr>
              <w:sz w:val="16"/>
              <w:lang w:val="de-DE"/>
            </w:rPr>
            <w:t xml:space="preserve">: </w:t>
          </w:r>
          <w:proofErr w:type="spellStart"/>
          <w:r>
            <w:rPr>
              <w:sz w:val="16"/>
              <w:lang w:val="de-DE"/>
            </w:rPr>
            <w:t>Vytauto</w:t>
          </w:r>
          <w:proofErr w:type="spellEnd"/>
          <w:r>
            <w:rPr>
              <w:sz w:val="16"/>
              <w:lang w:val="de-DE"/>
            </w:rPr>
            <w:t xml:space="preserve"> g. 12, LT-90123 </w:t>
          </w:r>
          <w:proofErr w:type="spellStart"/>
          <w:r>
            <w:rPr>
              <w:sz w:val="16"/>
              <w:lang w:val="de-DE"/>
            </w:rPr>
            <w:t>Plungė</w:t>
          </w:r>
          <w:proofErr w:type="spellEnd"/>
          <w:r>
            <w:rPr>
              <w:sz w:val="16"/>
              <w:lang w:val="de-DE"/>
            </w:rPr>
            <w:t xml:space="preserve">, tel. </w:t>
          </w:r>
          <w:r w:rsidRPr="00044DE1">
            <w:rPr>
              <w:sz w:val="16"/>
              <w:lang w:val="es-ES"/>
            </w:rPr>
            <w:t xml:space="preserve">(8 448)  </w:t>
          </w:r>
          <w:r w:rsidR="009457D2">
            <w:rPr>
              <w:sz w:val="16"/>
              <w:lang w:val="es-ES"/>
            </w:rPr>
            <w:t>20</w:t>
          </w:r>
          <w:r w:rsidRPr="00044DE1">
            <w:rPr>
              <w:sz w:val="16"/>
              <w:lang w:val="es-ES"/>
            </w:rPr>
            <w:t xml:space="preserve"> </w:t>
          </w:r>
          <w:r w:rsidR="009457D2">
            <w:rPr>
              <w:sz w:val="16"/>
              <w:lang w:val="es-ES"/>
            </w:rPr>
            <w:t>61</w:t>
          </w:r>
          <w:r w:rsidRPr="00044DE1">
            <w:rPr>
              <w:sz w:val="16"/>
              <w:lang w:val="es-ES"/>
            </w:rPr>
            <w:t xml:space="preserve">6, el. p. </w:t>
          </w:r>
          <w:hyperlink r:id="rId2" w:history="1">
            <w:r w:rsidR="00F06A62" w:rsidRPr="004203EE">
              <w:rPr>
                <w:rStyle w:val="Hipersaitas"/>
                <w:sz w:val="16"/>
                <w:lang w:val="es-ES"/>
              </w:rPr>
              <w:t>vytautas.tumas@plunge.lt</w:t>
            </w:r>
          </w:hyperlink>
          <w:r w:rsidRPr="00044DE1">
            <w:rPr>
              <w:sz w:val="16"/>
              <w:lang w:val="es-ES"/>
            </w:rPr>
            <w:t xml:space="preserve">  </w:t>
          </w:r>
        </w:p>
      </w:tc>
    </w:tr>
    <w:tr w:rsidR="00A63482" w:rsidRPr="00044DE1">
      <w:tc>
        <w:tcPr>
          <w:tcW w:w="9828" w:type="dxa"/>
        </w:tcPr>
        <w:p w:rsidR="00A63482" w:rsidRPr="00044DE1" w:rsidRDefault="00A63482" w:rsidP="00A63482">
          <w:pPr>
            <w:pStyle w:val="Porat"/>
            <w:tabs>
              <w:tab w:val="clear" w:pos="4819"/>
              <w:tab w:val="clear" w:pos="9638"/>
              <w:tab w:val="left" w:pos="3420"/>
            </w:tabs>
            <w:ind w:firstLine="0"/>
            <w:jc w:val="center"/>
            <w:rPr>
              <w:sz w:val="16"/>
              <w:lang w:val="es-ES"/>
            </w:rPr>
          </w:pPr>
        </w:p>
      </w:tc>
    </w:tr>
  </w:tbl>
  <w:p w:rsidR="003764E7" w:rsidRPr="008D56EA" w:rsidRDefault="003764E7" w:rsidP="00F06A62">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A7A" w:rsidRDefault="00101A7A">
      <w:r>
        <w:separator/>
      </w:r>
    </w:p>
  </w:footnote>
  <w:footnote w:type="continuationSeparator" w:id="0">
    <w:p w:rsidR="00101A7A" w:rsidRDefault="00101A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04662"/>
    <w:multiLevelType w:val="hybridMultilevel"/>
    <w:tmpl w:val="D4E87DC6"/>
    <w:lvl w:ilvl="0" w:tplc="2AB011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53E"/>
    <w:rsid w:val="00044DE1"/>
    <w:rsid w:val="00061A91"/>
    <w:rsid w:val="000705D2"/>
    <w:rsid w:val="000C542E"/>
    <w:rsid w:val="00101A7A"/>
    <w:rsid w:val="00142D1A"/>
    <w:rsid w:val="001643F9"/>
    <w:rsid w:val="001865FC"/>
    <w:rsid w:val="001C5813"/>
    <w:rsid w:val="001C6E77"/>
    <w:rsid w:val="002271AE"/>
    <w:rsid w:val="00237C2A"/>
    <w:rsid w:val="002C2999"/>
    <w:rsid w:val="002C2EF0"/>
    <w:rsid w:val="00362651"/>
    <w:rsid w:val="003764E7"/>
    <w:rsid w:val="00395C09"/>
    <w:rsid w:val="00425195"/>
    <w:rsid w:val="004B253E"/>
    <w:rsid w:val="004F6A1E"/>
    <w:rsid w:val="00506A3A"/>
    <w:rsid w:val="005619A4"/>
    <w:rsid w:val="005F0F96"/>
    <w:rsid w:val="006B707C"/>
    <w:rsid w:val="006F5021"/>
    <w:rsid w:val="00754A81"/>
    <w:rsid w:val="00795BC5"/>
    <w:rsid w:val="007A64B8"/>
    <w:rsid w:val="007F7059"/>
    <w:rsid w:val="00821C1F"/>
    <w:rsid w:val="0082357E"/>
    <w:rsid w:val="00897236"/>
    <w:rsid w:val="008D56EA"/>
    <w:rsid w:val="008F3A6F"/>
    <w:rsid w:val="00932196"/>
    <w:rsid w:val="009457D2"/>
    <w:rsid w:val="00A63482"/>
    <w:rsid w:val="00A67BD2"/>
    <w:rsid w:val="00AC7F64"/>
    <w:rsid w:val="00BD433D"/>
    <w:rsid w:val="00C1398A"/>
    <w:rsid w:val="00C344EC"/>
    <w:rsid w:val="00C62EC5"/>
    <w:rsid w:val="00CA3929"/>
    <w:rsid w:val="00D81A50"/>
    <w:rsid w:val="00DB377D"/>
    <w:rsid w:val="00E0465A"/>
    <w:rsid w:val="00E65B97"/>
    <w:rsid w:val="00EB699D"/>
    <w:rsid w:val="00EE39DA"/>
    <w:rsid w:val="00F04CF2"/>
    <w:rsid w:val="00F06A62"/>
    <w:rsid w:val="00F529A0"/>
    <w:rsid w:val="00F52DF3"/>
    <w:rsid w:val="00F954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C048BC-231E-46B4-A597-53E3459F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vytautas.tumas@plunge.lt" TargetMode="External"/><Relationship Id="rId1" Type="http://schemas.openxmlformats.org/officeDocument/2006/relationships/hyperlink" Target="mailto:savivaldybe@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Juridinio%20ir%20personalo%20skyriaus%20ras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Juridinio ir personalo skyriaus rastas</Template>
  <TotalTime>1</TotalTime>
  <Pages>2</Pages>
  <Words>2665</Words>
  <Characters>1520</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4177</CharactersWithSpaces>
  <SharedDoc>false</SharedDoc>
  <HLinks>
    <vt:vector size="12" baseType="variant">
      <vt:variant>
        <vt:i4>327795</vt:i4>
      </vt:variant>
      <vt:variant>
        <vt:i4>3</vt:i4>
      </vt:variant>
      <vt:variant>
        <vt:i4>0</vt:i4>
      </vt:variant>
      <vt:variant>
        <vt:i4>5</vt:i4>
      </vt:variant>
      <vt:variant>
        <vt:lpwstr>mailto:vytautas.tumas@plunge.lt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Vytautas Tumas</dc:creator>
  <cp:lastModifiedBy>Irma Kvizikevičienė</cp:lastModifiedBy>
  <cp:revision>2</cp:revision>
  <cp:lastPrinted>2023-12-08T12:17:00Z</cp:lastPrinted>
  <dcterms:created xsi:type="dcterms:W3CDTF">2023-12-08T12:18:00Z</dcterms:created>
  <dcterms:modified xsi:type="dcterms:W3CDTF">2023-12-08T12:18:00Z</dcterms:modified>
</cp:coreProperties>
</file>